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7EF" w:rsidRPr="00F527EF" w:rsidRDefault="00F527EF" w:rsidP="00F527E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27EF">
        <w:rPr>
          <w:rFonts w:ascii="Times New Roman" w:hAnsi="Times New Roman" w:cs="Times New Roman"/>
          <w:b/>
          <w:sz w:val="28"/>
          <w:szCs w:val="28"/>
        </w:rPr>
        <w:t>Скоро в школу: покупаем рюкзак</w:t>
      </w:r>
    </w:p>
    <w:p w:rsidR="00F527EF" w:rsidRPr="00F527EF" w:rsidRDefault="00F527EF" w:rsidP="00F527EF">
      <w:pPr>
        <w:jc w:val="both"/>
        <w:rPr>
          <w:rFonts w:ascii="Times New Roman" w:hAnsi="Times New Roman" w:cs="Times New Roman"/>
          <w:sz w:val="24"/>
          <w:szCs w:val="24"/>
        </w:rPr>
      </w:pPr>
      <w:r w:rsidRPr="00F527EF">
        <w:rPr>
          <w:rFonts w:ascii="Times New Roman" w:hAnsi="Times New Roman" w:cs="Times New Roman"/>
          <w:sz w:val="24"/>
          <w:szCs w:val="24"/>
        </w:rPr>
        <w:t xml:space="preserve">В преддверии нового учебного года специалисты Управления </w:t>
      </w:r>
      <w:proofErr w:type="spellStart"/>
      <w:r w:rsidRPr="00F527EF"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 w:rsidRPr="00F527EF">
        <w:rPr>
          <w:rFonts w:ascii="Times New Roman" w:hAnsi="Times New Roman" w:cs="Times New Roman"/>
          <w:sz w:val="24"/>
          <w:szCs w:val="24"/>
        </w:rPr>
        <w:t xml:space="preserve"> напоминают родителям, как собрать ребенка в школу.</w:t>
      </w:r>
    </w:p>
    <w:p w:rsidR="00F527EF" w:rsidRPr="00F527EF" w:rsidRDefault="00F527EF" w:rsidP="00F527EF">
      <w:pPr>
        <w:jc w:val="both"/>
        <w:rPr>
          <w:rFonts w:ascii="Times New Roman" w:hAnsi="Times New Roman" w:cs="Times New Roman"/>
          <w:sz w:val="24"/>
          <w:szCs w:val="24"/>
        </w:rPr>
      </w:pPr>
      <w:r w:rsidRPr="00F527EF">
        <w:rPr>
          <w:rFonts w:ascii="Times New Roman" w:hAnsi="Times New Roman" w:cs="Times New Roman"/>
          <w:sz w:val="24"/>
          <w:szCs w:val="24"/>
        </w:rPr>
        <w:t>Сегодня выбираем школьный рюкзак.</w:t>
      </w:r>
    </w:p>
    <w:p w:rsidR="00F527EF" w:rsidRPr="00F527EF" w:rsidRDefault="00F527EF" w:rsidP="00F527EF">
      <w:pPr>
        <w:jc w:val="both"/>
        <w:rPr>
          <w:rFonts w:ascii="Times New Roman" w:hAnsi="Times New Roman" w:cs="Times New Roman"/>
          <w:sz w:val="24"/>
          <w:szCs w:val="24"/>
        </w:rPr>
      </w:pPr>
      <w:r w:rsidRPr="00F527EF">
        <w:rPr>
          <w:rFonts w:ascii="Times New Roman" w:hAnsi="Times New Roman" w:cs="Times New Roman"/>
          <w:sz w:val="24"/>
          <w:szCs w:val="24"/>
        </w:rPr>
        <w:t>Техническим регламентом Таможенного союза «О безопасности продукции, предназначенной для детей и подростков» (</w:t>
      </w:r>
      <w:proofErr w:type="gramStart"/>
      <w:r w:rsidRPr="00F527EF">
        <w:rPr>
          <w:rFonts w:ascii="Times New Roman" w:hAnsi="Times New Roman" w:cs="Times New Roman"/>
          <w:sz w:val="24"/>
          <w:szCs w:val="24"/>
        </w:rPr>
        <w:t>ТР</w:t>
      </w:r>
      <w:proofErr w:type="gramEnd"/>
      <w:r w:rsidRPr="00F527EF">
        <w:rPr>
          <w:rFonts w:ascii="Times New Roman" w:hAnsi="Times New Roman" w:cs="Times New Roman"/>
          <w:sz w:val="24"/>
          <w:szCs w:val="24"/>
        </w:rPr>
        <w:t xml:space="preserve"> ТС 007/2011) регламентируются размеры, вес, конструкция, показатели санитарно-химической, токсикологической безопасности материалов, из которых изготовлены ученические портфели и ранцы.</w:t>
      </w:r>
    </w:p>
    <w:p w:rsidR="00F527EF" w:rsidRPr="00F527EF" w:rsidRDefault="00F527EF" w:rsidP="00F527EF">
      <w:pPr>
        <w:jc w:val="both"/>
        <w:rPr>
          <w:rFonts w:ascii="Times New Roman" w:hAnsi="Times New Roman" w:cs="Times New Roman"/>
          <w:sz w:val="24"/>
          <w:szCs w:val="24"/>
        </w:rPr>
      </w:pPr>
      <w:r w:rsidRPr="00F527EF">
        <w:rPr>
          <w:rFonts w:ascii="Times New Roman" w:hAnsi="Times New Roman" w:cs="Times New Roman"/>
          <w:sz w:val="24"/>
          <w:szCs w:val="24"/>
        </w:rPr>
        <w:t>Маркировка портфелей должна содержать информацию о возрасте пользователя.</w:t>
      </w:r>
    </w:p>
    <w:p w:rsidR="00F527EF" w:rsidRPr="00F527EF" w:rsidRDefault="00F527EF" w:rsidP="00F527EF">
      <w:pPr>
        <w:jc w:val="both"/>
        <w:rPr>
          <w:rFonts w:ascii="Times New Roman" w:hAnsi="Times New Roman" w:cs="Times New Roman"/>
          <w:sz w:val="24"/>
          <w:szCs w:val="24"/>
        </w:rPr>
      </w:pPr>
      <w:r w:rsidRPr="00F527EF">
        <w:rPr>
          <w:rFonts w:ascii="Times New Roman" w:hAnsi="Times New Roman" w:cs="Times New Roman"/>
          <w:sz w:val="24"/>
          <w:szCs w:val="24"/>
        </w:rPr>
        <w:t>Вес школьных ранцев без учебников должен быть для обучающихся начальных классов не более 700 грамм и для обучающихся средних и старших классов – не более 1000 грамм.</w:t>
      </w:r>
    </w:p>
    <w:p w:rsidR="00F527EF" w:rsidRPr="00F527EF" w:rsidRDefault="00F527EF" w:rsidP="00F527EF">
      <w:pPr>
        <w:jc w:val="both"/>
        <w:rPr>
          <w:rFonts w:ascii="Times New Roman" w:hAnsi="Times New Roman" w:cs="Times New Roman"/>
          <w:sz w:val="24"/>
          <w:szCs w:val="24"/>
        </w:rPr>
      </w:pPr>
      <w:r w:rsidRPr="00F527EF">
        <w:rPr>
          <w:rFonts w:ascii="Times New Roman" w:hAnsi="Times New Roman" w:cs="Times New Roman"/>
          <w:sz w:val="24"/>
          <w:szCs w:val="24"/>
        </w:rPr>
        <w:t xml:space="preserve">Ученические ранцы для детей младшего школьного возраста должны быть снабжены </w:t>
      </w:r>
      <w:proofErr w:type="spellStart"/>
      <w:r w:rsidRPr="00F527EF">
        <w:rPr>
          <w:rFonts w:ascii="Times New Roman" w:hAnsi="Times New Roman" w:cs="Times New Roman"/>
          <w:sz w:val="24"/>
          <w:szCs w:val="24"/>
        </w:rPr>
        <w:t>формоустойчивой</w:t>
      </w:r>
      <w:proofErr w:type="spellEnd"/>
      <w:r w:rsidRPr="00F527EF">
        <w:rPr>
          <w:rFonts w:ascii="Times New Roman" w:hAnsi="Times New Roman" w:cs="Times New Roman"/>
          <w:sz w:val="24"/>
          <w:szCs w:val="24"/>
        </w:rPr>
        <w:t xml:space="preserve"> спинкой, обеспечивающей его полное прилегание к спине обучающегося и равномерное распределение веса.</w:t>
      </w:r>
    </w:p>
    <w:p w:rsidR="00F527EF" w:rsidRPr="00F527EF" w:rsidRDefault="00F527EF" w:rsidP="00F527EF">
      <w:pPr>
        <w:jc w:val="both"/>
        <w:rPr>
          <w:rFonts w:ascii="Times New Roman" w:hAnsi="Times New Roman" w:cs="Times New Roman"/>
          <w:sz w:val="24"/>
          <w:szCs w:val="24"/>
        </w:rPr>
      </w:pPr>
      <w:r w:rsidRPr="00F527EF">
        <w:rPr>
          <w:rFonts w:ascii="Times New Roman" w:hAnsi="Times New Roman" w:cs="Times New Roman"/>
          <w:sz w:val="24"/>
          <w:szCs w:val="24"/>
        </w:rPr>
        <w:t>Требования, предъявляемые к размерам ранцев для обучающихся начальных классов, следующие:</w:t>
      </w:r>
    </w:p>
    <w:p w:rsidR="00F527EF" w:rsidRPr="00F527EF" w:rsidRDefault="00F527EF" w:rsidP="00F527EF">
      <w:pPr>
        <w:jc w:val="both"/>
        <w:rPr>
          <w:rFonts w:ascii="Times New Roman" w:hAnsi="Times New Roman" w:cs="Times New Roman"/>
          <w:sz w:val="24"/>
          <w:szCs w:val="24"/>
        </w:rPr>
      </w:pPr>
      <w:r w:rsidRPr="00F527EF">
        <w:rPr>
          <w:rFonts w:ascii="Times New Roman" w:hAnsi="Times New Roman" w:cs="Times New Roman"/>
          <w:sz w:val="24"/>
          <w:szCs w:val="24"/>
        </w:rPr>
        <w:t>- длина (высота) – 300 – 360 мм,</w:t>
      </w:r>
    </w:p>
    <w:p w:rsidR="00F527EF" w:rsidRPr="00F527EF" w:rsidRDefault="00F527EF" w:rsidP="00F527EF">
      <w:pPr>
        <w:jc w:val="both"/>
        <w:rPr>
          <w:rFonts w:ascii="Times New Roman" w:hAnsi="Times New Roman" w:cs="Times New Roman"/>
          <w:sz w:val="24"/>
          <w:szCs w:val="24"/>
        </w:rPr>
      </w:pPr>
      <w:r w:rsidRPr="00F527EF">
        <w:rPr>
          <w:rFonts w:ascii="Times New Roman" w:hAnsi="Times New Roman" w:cs="Times New Roman"/>
          <w:sz w:val="24"/>
          <w:szCs w:val="24"/>
        </w:rPr>
        <w:t>- высота передней стенки – 220 – 260 мм,</w:t>
      </w:r>
    </w:p>
    <w:p w:rsidR="00F527EF" w:rsidRPr="00F527EF" w:rsidRDefault="00F527EF" w:rsidP="00F527EF">
      <w:pPr>
        <w:jc w:val="both"/>
        <w:rPr>
          <w:rFonts w:ascii="Times New Roman" w:hAnsi="Times New Roman" w:cs="Times New Roman"/>
          <w:sz w:val="24"/>
          <w:szCs w:val="24"/>
        </w:rPr>
      </w:pPr>
      <w:r w:rsidRPr="00F527EF">
        <w:rPr>
          <w:rFonts w:ascii="Times New Roman" w:hAnsi="Times New Roman" w:cs="Times New Roman"/>
          <w:sz w:val="24"/>
          <w:szCs w:val="24"/>
        </w:rPr>
        <w:t>- ширина – 60 – 100 мм,</w:t>
      </w:r>
    </w:p>
    <w:p w:rsidR="00F527EF" w:rsidRPr="00F527EF" w:rsidRDefault="00F527EF" w:rsidP="00F527EF">
      <w:pPr>
        <w:jc w:val="both"/>
        <w:rPr>
          <w:rFonts w:ascii="Times New Roman" w:hAnsi="Times New Roman" w:cs="Times New Roman"/>
          <w:sz w:val="24"/>
          <w:szCs w:val="24"/>
        </w:rPr>
      </w:pPr>
      <w:r w:rsidRPr="00F527EF">
        <w:rPr>
          <w:rFonts w:ascii="Times New Roman" w:hAnsi="Times New Roman" w:cs="Times New Roman"/>
          <w:sz w:val="24"/>
          <w:szCs w:val="24"/>
        </w:rPr>
        <w:t>- длина плечевого ремня – не менее 600 – 700 мм,</w:t>
      </w:r>
    </w:p>
    <w:p w:rsidR="00F527EF" w:rsidRPr="00F527EF" w:rsidRDefault="00F527EF" w:rsidP="00F527EF">
      <w:pPr>
        <w:jc w:val="both"/>
        <w:rPr>
          <w:rFonts w:ascii="Times New Roman" w:hAnsi="Times New Roman" w:cs="Times New Roman"/>
          <w:sz w:val="24"/>
          <w:szCs w:val="24"/>
        </w:rPr>
      </w:pPr>
      <w:r w:rsidRPr="00F527EF">
        <w:rPr>
          <w:rFonts w:ascii="Times New Roman" w:hAnsi="Times New Roman" w:cs="Times New Roman"/>
          <w:sz w:val="24"/>
          <w:szCs w:val="24"/>
        </w:rPr>
        <w:t>- ширина плечевого ремня в верхней части (на протяжении 400 - 450 мм) – не менее 35 – 40 мм.</w:t>
      </w:r>
    </w:p>
    <w:p w:rsidR="00F527EF" w:rsidRPr="00F527EF" w:rsidRDefault="00F527EF" w:rsidP="00F527EF">
      <w:pPr>
        <w:jc w:val="both"/>
        <w:rPr>
          <w:rFonts w:ascii="Times New Roman" w:hAnsi="Times New Roman" w:cs="Times New Roman"/>
          <w:sz w:val="24"/>
          <w:szCs w:val="24"/>
        </w:rPr>
      </w:pPr>
      <w:r w:rsidRPr="00F527EF">
        <w:rPr>
          <w:rFonts w:ascii="Times New Roman" w:hAnsi="Times New Roman" w:cs="Times New Roman"/>
          <w:sz w:val="24"/>
          <w:szCs w:val="24"/>
        </w:rPr>
        <w:t>Допускается увеличение размеров не более чем на 30 мм.</w:t>
      </w:r>
    </w:p>
    <w:p w:rsidR="00F527EF" w:rsidRPr="00F527EF" w:rsidRDefault="00F527EF" w:rsidP="00F527EF">
      <w:pPr>
        <w:jc w:val="both"/>
        <w:rPr>
          <w:rFonts w:ascii="Times New Roman" w:hAnsi="Times New Roman" w:cs="Times New Roman"/>
          <w:sz w:val="24"/>
          <w:szCs w:val="24"/>
        </w:rPr>
      </w:pPr>
      <w:r w:rsidRPr="00F527EF">
        <w:rPr>
          <w:rFonts w:ascii="Times New Roman" w:hAnsi="Times New Roman" w:cs="Times New Roman"/>
          <w:sz w:val="24"/>
          <w:szCs w:val="24"/>
        </w:rPr>
        <w:t>Вес ежедневного комплекта учебников и письменных принадлежностей не должен превышать:</w:t>
      </w:r>
    </w:p>
    <w:p w:rsidR="00F527EF" w:rsidRPr="00F527EF" w:rsidRDefault="00F527EF" w:rsidP="00F527EF">
      <w:pPr>
        <w:jc w:val="both"/>
        <w:rPr>
          <w:rFonts w:ascii="Times New Roman" w:hAnsi="Times New Roman" w:cs="Times New Roman"/>
          <w:sz w:val="24"/>
          <w:szCs w:val="24"/>
        </w:rPr>
      </w:pPr>
      <w:r w:rsidRPr="00F527EF">
        <w:rPr>
          <w:rFonts w:ascii="Times New Roman" w:hAnsi="Times New Roman" w:cs="Times New Roman"/>
          <w:sz w:val="24"/>
          <w:szCs w:val="24"/>
        </w:rPr>
        <w:t>для учащихся 1 - 2-х классов - 1,5 кг; 3 - 4-х классов - 2 кг; 5 - 6-х классов - 2,5 кг; 7 - 8-х классов - 3,5 кг; 9 - 11-х классов - 4 кг.</w:t>
      </w:r>
    </w:p>
    <w:p w:rsidR="00F527EF" w:rsidRPr="00F527EF" w:rsidRDefault="00F527EF" w:rsidP="00F527EF">
      <w:pPr>
        <w:jc w:val="both"/>
        <w:rPr>
          <w:rFonts w:ascii="Times New Roman" w:hAnsi="Times New Roman" w:cs="Times New Roman"/>
          <w:sz w:val="24"/>
          <w:szCs w:val="24"/>
        </w:rPr>
      </w:pPr>
      <w:r w:rsidRPr="00F527EF">
        <w:rPr>
          <w:rFonts w:ascii="Times New Roman" w:hAnsi="Times New Roman" w:cs="Times New Roman"/>
          <w:sz w:val="24"/>
          <w:szCs w:val="24"/>
        </w:rPr>
        <w:t>В качестве ориентировочного теста для проверки соответствия веса ранца с учебниками и тетрадями нормативным требованиям используется вычисление отношения веса ранца к весу ребенка. Оптимальное соотношение составляет 1:10. Такой подход учитывает и индивидуальные возможности ребенка.</w:t>
      </w:r>
    </w:p>
    <w:p w:rsidR="00F527EF" w:rsidRPr="00F527EF" w:rsidRDefault="00F527EF" w:rsidP="00F527E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527EF" w:rsidRPr="00F527EF" w:rsidRDefault="00F527EF" w:rsidP="00F527EF">
      <w:pPr>
        <w:jc w:val="both"/>
        <w:rPr>
          <w:rFonts w:ascii="Times New Roman" w:hAnsi="Times New Roman" w:cs="Times New Roman"/>
          <w:sz w:val="24"/>
          <w:szCs w:val="24"/>
        </w:rPr>
      </w:pPr>
      <w:r w:rsidRPr="00F527EF">
        <w:rPr>
          <w:rFonts w:ascii="Times New Roman" w:hAnsi="Times New Roman" w:cs="Times New Roman"/>
          <w:sz w:val="24"/>
          <w:szCs w:val="24"/>
        </w:rPr>
        <w:t>Кроме того, ученические портфели и ранцы должны иметь детали и (или) фурнитуру со светоотражающими элементами на передних, боковых поверхностях и верхнем клапане и изготовляться из материалов контрастных цветов. Материал для изготовления ранцев должен быть легким, прочным, с водоотталкивающим покрытием, простым в чистке и уходе, чтобы при необходимости его можно было легко помыть.</w:t>
      </w:r>
    </w:p>
    <w:p w:rsidR="00DC07D3" w:rsidRPr="00F527EF" w:rsidRDefault="00DC07D3" w:rsidP="00F527EF">
      <w:pPr>
        <w:jc w:val="both"/>
        <w:rPr>
          <w:sz w:val="24"/>
          <w:szCs w:val="24"/>
        </w:rPr>
      </w:pPr>
    </w:p>
    <w:sectPr w:rsidR="00DC07D3" w:rsidRPr="00F527EF" w:rsidSect="00DC07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B4EBA"/>
    <w:rsid w:val="007B4EBA"/>
    <w:rsid w:val="00DC07D3"/>
    <w:rsid w:val="00F527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7E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328</Words>
  <Characters>1875</Characters>
  <Application>Microsoft Office Word</Application>
  <DocSecurity>0</DocSecurity>
  <Lines>15</Lines>
  <Paragraphs>4</Paragraphs>
  <ScaleCrop>false</ScaleCrop>
  <Company/>
  <LinksUpToDate>false</LinksUpToDate>
  <CharactersWithSpaces>2199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2024-08-19T04:43:00Z</dcterms:created>
  <dcterms:modified xsi:type="dcterms:W3CDTF">2024-08-19T04:46:00Z</dcterms:modified>
</cp:coreProperties>
</file>