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B" w:rsidRPr="002F3B9C" w:rsidRDefault="008F337B" w:rsidP="008F3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9C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 w:rsidR="00DA1B34">
        <w:rPr>
          <w:rFonts w:ascii="Times New Roman" w:hAnsi="Times New Roman"/>
          <w:b/>
          <w:sz w:val="28"/>
          <w:szCs w:val="28"/>
        </w:rPr>
        <w:t>щеоб</w:t>
      </w:r>
      <w:r w:rsidRPr="002F3B9C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8F337B" w:rsidRPr="002F3B9C" w:rsidRDefault="00DA1B34" w:rsidP="00DA1B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8F337B" w:rsidRPr="002F3B9C">
        <w:rPr>
          <w:rFonts w:ascii="Times New Roman" w:hAnsi="Times New Roman"/>
          <w:b/>
          <w:sz w:val="28"/>
          <w:szCs w:val="28"/>
        </w:rPr>
        <w:t xml:space="preserve"> школа № 8</w:t>
      </w:r>
    </w:p>
    <w:p w:rsidR="008F337B" w:rsidRPr="002F3B9C" w:rsidRDefault="008F337B" w:rsidP="008F3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37B" w:rsidRPr="002F3B9C" w:rsidRDefault="008F337B" w:rsidP="008F3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9C">
        <w:rPr>
          <w:rFonts w:ascii="Times New Roman" w:hAnsi="Times New Roman"/>
          <w:b/>
          <w:sz w:val="28"/>
          <w:szCs w:val="28"/>
        </w:rPr>
        <w:t>ПРИКАЗ</w:t>
      </w:r>
    </w:p>
    <w:p w:rsidR="008F337B" w:rsidRPr="002F3B9C" w:rsidRDefault="008F337B" w:rsidP="008F3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37B" w:rsidRDefault="00DA1B34" w:rsidP="008F337B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01.06.2017</w:t>
      </w:r>
      <w:r w:rsidR="008F337B" w:rsidRPr="002F3B9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</w:t>
      </w:r>
      <w:r w:rsidR="008F337B">
        <w:rPr>
          <w:rFonts w:ascii="Times New Roman" w:hAnsi="Times New Roman"/>
          <w:sz w:val="28"/>
          <w:szCs w:val="28"/>
        </w:rPr>
        <w:t xml:space="preserve">                     № 1</w:t>
      </w:r>
      <w:r>
        <w:rPr>
          <w:rFonts w:ascii="Times New Roman" w:hAnsi="Times New Roman"/>
          <w:sz w:val="28"/>
          <w:szCs w:val="28"/>
        </w:rPr>
        <w:t>09</w:t>
      </w:r>
    </w:p>
    <w:p w:rsidR="008F337B" w:rsidRPr="002F3B9C" w:rsidRDefault="008F337B" w:rsidP="008F337B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8F337B" w:rsidRPr="002F3B9C" w:rsidTr="00296D88">
        <w:trPr>
          <w:jc w:val="center"/>
        </w:trPr>
        <w:tc>
          <w:tcPr>
            <w:tcW w:w="9571" w:type="dxa"/>
          </w:tcPr>
          <w:p w:rsidR="008F337B" w:rsidRDefault="008F337B" w:rsidP="00296D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 внесении изменений в Положение</w:t>
            </w:r>
            <w:r w:rsidRPr="002F3B9C">
              <w:rPr>
                <w:rFonts w:ascii="Times New Roman" w:hAnsi="Times New Roman"/>
                <w:b/>
                <w:sz w:val="28"/>
                <w:szCs w:val="28"/>
              </w:rPr>
              <w:t xml:space="preserve"> об оплате труда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1B34" w:rsidRDefault="00DA1B34" w:rsidP="00296D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работников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МБОУшколы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337B" w:rsidRPr="002F3B9C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337B" w:rsidRPr="002F3B9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утвержденное приказом </w:t>
            </w:r>
          </w:p>
          <w:p w:rsidR="008F337B" w:rsidRDefault="00DA1B34" w:rsidP="00296D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МБОУшколы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8 от 01.09.2016 года № 153</w:t>
            </w:r>
            <w:r w:rsidR="008F33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F337B" w:rsidRPr="002F3B9C" w:rsidRDefault="008F337B" w:rsidP="00296D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337B" w:rsidRPr="008F337B" w:rsidTr="008F337B">
        <w:trPr>
          <w:jc w:val="center"/>
        </w:trPr>
        <w:tc>
          <w:tcPr>
            <w:tcW w:w="9571" w:type="dxa"/>
          </w:tcPr>
          <w:p w:rsidR="00271CDD" w:rsidRDefault="008F337B" w:rsidP="007D2A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F337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</w:t>
            </w:r>
            <w:proofErr w:type="gramStart"/>
            <w:r w:rsidRPr="008F337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DA1B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proofErr w:type="gramEnd"/>
            <w:r w:rsidR="00DA1B34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 Кулебаки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A1B34">
              <w:rPr>
                <w:rFonts w:ascii="Times New Roman" w:hAnsi="Times New Roman" w:cs="Times New Roman"/>
                <w:bCs/>
                <w:sz w:val="28"/>
                <w:szCs w:val="28"/>
              </w:rPr>
              <w:t>ижегородской области от 29.05.2017 года № 1114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337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F33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внесении изменений в </w:t>
            </w:r>
            <w:r w:rsidR="00DA1B3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постановление администрации </w:t>
            </w:r>
            <w:r w:rsidR="00DA1B34" w:rsidRPr="00DA1B34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Кулебаки Нижегородской области от 06 мая 2016 года № 879 «Об утверждении Положения об оплате труда работников муниципальных организаций, осуществляющих образовательную деятельность и подведомственных управлению образования администрации городского округа город Кулебаки Нижегородской области»</w:t>
            </w:r>
          </w:p>
          <w:p w:rsidR="008F337B" w:rsidRPr="008F337B" w:rsidRDefault="00271CDD" w:rsidP="007D2A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7B">
              <w:rPr>
                <w:rFonts w:ascii="Times New Roman" w:hAnsi="Times New Roman" w:cs="Times New Roman"/>
                <w:sz w:val="28"/>
                <w:szCs w:val="28"/>
              </w:rPr>
              <w:t xml:space="preserve">п р и </w:t>
            </w:r>
            <w:proofErr w:type="gramStart"/>
            <w:r w:rsidR="008F33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F337B">
              <w:rPr>
                <w:rFonts w:ascii="Times New Roman" w:hAnsi="Times New Roman" w:cs="Times New Roman"/>
                <w:sz w:val="28"/>
                <w:szCs w:val="28"/>
              </w:rPr>
              <w:t xml:space="preserve"> а з ы в а ю:</w:t>
            </w:r>
          </w:p>
        </w:tc>
      </w:tr>
      <w:tr w:rsidR="008F337B" w:rsidRPr="008F337B" w:rsidTr="008F337B">
        <w:trPr>
          <w:jc w:val="center"/>
        </w:trPr>
        <w:tc>
          <w:tcPr>
            <w:tcW w:w="9571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530C06" w:rsidTr="007D2AB4">
              <w:tc>
                <w:tcPr>
                  <w:tcW w:w="9498" w:type="dxa"/>
                </w:tcPr>
                <w:p w:rsidR="00296D88" w:rsidRPr="007D2AB4" w:rsidRDefault="00296D88" w:rsidP="007D2AB4">
                  <w:pPr>
                    <w:shd w:val="clear" w:color="auto" w:fill="FFFFFF"/>
                    <w:spacing w:after="0" w:line="240" w:lineRule="auto"/>
                    <w:ind w:right="53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25783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1.</w:t>
                  </w:r>
                  <w:r w:rsidR="00530C06" w:rsidRPr="0025783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Внести в </w:t>
                  </w:r>
                  <w:r w:rsidR="00530C06"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об оп</w:t>
                  </w:r>
                  <w:r w:rsidR="00271C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лате труда работников МБОУ </w:t>
                  </w:r>
                  <w:proofErr w:type="gramStart"/>
                  <w:r w:rsidR="00271C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школы </w:t>
                  </w:r>
                  <w:r w:rsidR="00417538"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proofErr w:type="gramEnd"/>
                  <w:r w:rsidR="00417538"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530C06"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следующие изменения</w:t>
                  </w:r>
                  <w:r w:rsidR="00530C06" w:rsidRPr="0025783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:</w:t>
                  </w:r>
                </w:p>
                <w:p w:rsidR="00271CDD" w:rsidRDefault="00417538" w:rsidP="007D2AB4">
                  <w:pPr>
                    <w:tabs>
                      <w:tab w:val="left" w:pos="14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  <w:r w:rsidR="00530C06"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 </w:t>
                  </w:r>
                  <w:proofErr w:type="gramStart"/>
                  <w:r w:rsidR="00530C06"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разделе </w:t>
                  </w:r>
                  <w:r w:rsidR="00271CDD">
                    <w:t xml:space="preserve"> </w:t>
                  </w:r>
                  <w:r w:rsidR="00271CDD" w:rsidRPr="00271C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="00271CDD" w:rsidRPr="00271C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«Общие положения»:</w:t>
                  </w:r>
                </w:p>
                <w:p w:rsidR="00530C06" w:rsidRDefault="00530C06" w:rsidP="007D2AB4">
                  <w:pPr>
                    <w:tabs>
                      <w:tab w:val="left" w:pos="14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96D88"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.1.1</w:t>
                  </w:r>
                  <w:r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271C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Пункт 1.5. </w:t>
                  </w:r>
                  <w:r w:rsidRPr="00257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9A7BE1" w:rsidRPr="009A7BE1" w:rsidRDefault="009A7BE1" w:rsidP="007D2AB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 Отраслевая система оплаты труда работников организации, включая размеры окладов (должностных окладов), ставок заработной платы, выплаты компенсационного характера, выплаты стимулирующего характера, устанавлив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ается коллективным договором,</w:t>
                  </w: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Нижегородской области, нормативными актами администрации городского округа город Кулебаки.</w:t>
                  </w:r>
                </w:p>
                <w:p w:rsidR="009A7BE1" w:rsidRPr="009A7BE1" w:rsidRDefault="009A7BE1" w:rsidP="007D2AB4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труда работников организации осуществляется по отраслевой системе оплаты труда с учётом специфики деятельности организации.</w:t>
                  </w:r>
                </w:p>
                <w:p w:rsidR="009A7BE1" w:rsidRPr="009A7BE1" w:rsidRDefault="009A7BE1" w:rsidP="007D2AB4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Отраслевая система оплаты труда работников организации устанавливается и изменяется с учётом:</w:t>
                  </w:r>
                </w:p>
                <w:p w:rsidR="009A7BE1" w:rsidRP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            </w:r>
                </w:p>
                <w:p w:rsidR="009A7BE1" w:rsidRP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обеспечения государственных гарантий по оплате труда;</w:t>
                  </w:r>
                </w:p>
                <w:p w:rsidR="009A7BE1" w:rsidRP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            </w:r>
                </w:p>
                <w:p w:rsidR="009A7BE1" w:rsidRP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г) </w:t>
                  </w:r>
                  <w:hyperlink r:id="rId6" w:history="1">
                    <w:r w:rsidRPr="009A7B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перечня</w:t>
                    </w:r>
                  </w:hyperlink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видов выплат компенсационного характера в государственных бюджетных, автономных и казённых учреждениях Нижегородской области, утверждённого приказом департамента социальной защиты населения, труда и занятости Нижегородской области от 18 июня 2008 года № 229; </w:t>
                  </w:r>
                </w:p>
                <w:p w:rsidR="009A7BE1" w:rsidRP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минимальных размеров окладов (минимальных размеров должностных окладов) по профессиональным квалификационным группам (квалификационным уровням профессиональных квалификационных групп) общеотраслевых должностей руководителей, специалистов и служащих, минимальных размеров ставок заработной платы по профессиональным квалификационным группам (квалификационным уровням профессиональных квалификационных групп) общеотраслевых профессий рабочих государственных учреждений Нижегородской области;</w:t>
                  </w:r>
                </w:p>
                <w:p w:rsidR="009A7BE1" w:rsidRP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е) рекомендаций Российской трёхсторонней комиссии по регулированию социально-трудовых отношений;</w:t>
                  </w:r>
                </w:p>
                <w:p w:rsid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ж) </w:t>
                  </w:r>
                  <w:proofErr w:type="gramStart"/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мнения  представительного</w:t>
                  </w:r>
                  <w:proofErr w:type="gramEnd"/>
                  <w:r w:rsidRPr="009A7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органа работников.</w:t>
                  </w:r>
                </w:p>
                <w:p w:rsid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1.1.2. Пункт 1.5.1. исключить.</w:t>
                  </w:r>
                </w:p>
                <w:p w:rsid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В разделе 2 «</w:t>
                  </w:r>
                  <w:r w:rsidRPr="00B2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 и условия оплаты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A7BE1" w:rsidRDefault="009A7BE1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1.2.1.Пункт 2.3. дополнить абзацами следующего содержания:</w:t>
                  </w:r>
                </w:p>
                <w:p w:rsidR="009A7BE1" w:rsidRPr="00414D3A" w:rsidRDefault="009A7BE1" w:rsidP="007D2AB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«Штатная численность работников организации устанавливается руководителем  организации исходя из функций, задач, объёмов работ и нормирования труда, определяемых работодателем с учётом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утверждённые в порядке, установленном законодательством Российской Федерации).</w:t>
                  </w:r>
                </w:p>
                <w:p w:rsidR="009A7BE1" w:rsidRDefault="009A7BE1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оптимизации структуры и численности работников муниципального учреждения экономия фонда оплаты труда должна быть направлена на повышение заработной платы работников, отражённых в указах Президента Российской Федерации от 7 мая 2012 года </w:t>
                  </w:r>
                  <w:hyperlink r:id="rId7" w:history="1">
                    <w:r w:rsidRPr="00414D3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597</w:t>
                    </w:r>
                  </w:hyperlink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"О мероприятиях по реализации государственной социальной политики", от 1 июня 2012 года </w:t>
                  </w: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8" w:history="1">
                    <w:r w:rsidRPr="00414D3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761</w:t>
                    </w:r>
                  </w:hyperlink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"О национальной стратегии действий в интересах детей на 2012 - 2017 годы".</w:t>
                  </w:r>
                  <w:r w:rsidR="00414D3A"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14D3A" w:rsidRPr="00165A83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1.2.2. П</w:t>
                  </w:r>
                  <w:r w:rsidRPr="00165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ункт 2.7 изложить в следующей редакции: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«2.7. Размеры и условия осуществления выплат стимулирующего характера для всех категорий работников организации устанавливается коллективным </w:t>
                  </w:r>
                  <w:proofErr w:type="gramStart"/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договором,  локальными</w:t>
                  </w:r>
                  <w:proofErr w:type="gramEnd"/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нормативными актами, принимаемыми с учётом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показателей и критериев эффективности работы </w:t>
                  </w: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осуществляется с учётом следующих принципов: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адекватность - вознаграждение должно быть адекватно трудовому вкладу каждого работника в результат коллективного труда;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своевременность - вознаграждение должно следовать за достижением результатов;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прозрачность - правила определения вознаграждения должны быть понятны каждому работнику.</w:t>
                  </w:r>
                </w:p>
                <w:p w:rsidR="00414D3A" w:rsidRPr="007D2AB4" w:rsidRDefault="00414D3A" w:rsidP="007D2AB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Выплаты стимулирующего характера не образуют новый должностной оклад (ставку заработной платы) и не учитываются при начислении иных стимулирующих или компенсационных выплат. Перечень и условия осуществления выплат стимулирующего характера работникам организации приводятся в </w:t>
                  </w:r>
                  <w:r w:rsidRPr="007D2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приложении 3 «</w:t>
                  </w:r>
                  <w:r w:rsidRPr="007D2AB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Положение о распределении стимулирующей части фонда оплаты труда»</w:t>
                  </w:r>
                  <w:r w:rsidRPr="007D2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настоящему Положению.</w:t>
                  </w:r>
                </w:p>
                <w:p w:rsidR="00414D3A" w:rsidRPr="00414D3A" w:rsidRDefault="00414D3A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стимулирующей части фонда оплаты труда организации определено в приложении 3 «</w:t>
                  </w:r>
                  <w:r w:rsidRPr="007D2AB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Положение о распределении стимулирующей части фонда оплаты труда»</w:t>
                  </w:r>
                  <w:r w:rsidRPr="00414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настоящему Положению.»</w:t>
                  </w:r>
                </w:p>
                <w:p w:rsidR="00EA6088" w:rsidRDefault="00414D3A" w:rsidP="007D2AB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1.2.3.</w:t>
                  </w:r>
                  <w:r w:rsidR="00EA6088" w:rsidRPr="000B18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Абзац первый пункта 2.12.10. дополнить словами следующего содержания: «</w:t>
                  </w:r>
                  <w:r w:rsidR="00EA6088" w:rsidRPr="00BA0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преподавательской работы </w:t>
                  </w:r>
                  <w:r w:rsid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образовательных организаций, работникам управления образования администрации городского округа город Кулебаки</w:t>
                  </w:r>
                  <w:r w:rsidR="00EA6088" w:rsidRPr="00BA0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осуществляется при наличии </w:t>
                  </w:r>
                  <w:r w:rsid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соответствующего обращения и </w:t>
                  </w:r>
                  <w:r w:rsidR="00EA6088" w:rsidRPr="00BA0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письменного согласования начальник</w:t>
                  </w:r>
                  <w:r w:rsid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EA6088" w:rsidRPr="00BA0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образования администрации городского округа город Кулебаки</w:t>
                  </w:r>
                  <w:r w:rsid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при этом предельный объём </w:t>
                  </w:r>
                  <w:r w:rsidR="00EA6088" w:rsidRPr="00F6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учебной (преподавательской) работы </w:t>
                  </w:r>
                  <w:r w:rsid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руководителям образовательных организаций, работникам управления образования администрации городского округа город Кулебаки может составлять не более половины от </w:t>
                  </w:r>
                  <w:r w:rsidR="00EA6088" w:rsidRPr="00F63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установленной нормы часов в неделю за ставку заработной платы</w:t>
                  </w:r>
                  <w:r w:rsid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преподавательской работы</w:t>
                  </w:r>
                  <w:r w:rsidR="00EA6088" w:rsidRPr="00BA0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.»</w:t>
                  </w:r>
                </w:p>
                <w:p w:rsidR="00EA6088" w:rsidRDefault="00EA6088" w:rsidP="007D2AB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</w:t>
                  </w:r>
                  <w:r w:rsidRPr="00CD0B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разделе 3 «Условия оплаты труда руководителя организации, заместителей </w:t>
                  </w:r>
                  <w:proofErr w:type="gramStart"/>
                  <w:r w:rsidRPr="00CD0B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уководителя »</w:t>
                  </w:r>
                  <w:proofErr w:type="gramEnd"/>
                </w:p>
                <w:p w:rsidR="00EA6088" w:rsidRDefault="00EA6088" w:rsidP="007D2AB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1.3.1.</w:t>
                  </w:r>
                  <w:r w:rsidRPr="001C4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пункте 3.2.</w:t>
                  </w:r>
                </w:p>
                <w:p w:rsidR="00EA6088" w:rsidRPr="00EA6088" w:rsidRDefault="00EA6088" w:rsidP="007D2AB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дополнить абзацем вторым следующего содержания:</w:t>
                  </w:r>
                  <w:r>
                    <w:rPr>
                      <w:szCs w:val="28"/>
                    </w:rPr>
                    <w:t xml:space="preserve"> </w:t>
                  </w: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«Предельный уровень соотношения среднемесячной заработной платы руководителя организации, его заместителей,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соответствующего руководителя, его заместителей) устанавливается администрацией городского округа город Кулебаки Нижегородской области в кратности от 1 до 8.»</w:t>
                  </w:r>
                </w:p>
                <w:p w:rsidR="00EA6088" w:rsidRDefault="00EA6088" w:rsidP="007D2AB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абзац второй соответственно считать третьим.</w:t>
                  </w:r>
                </w:p>
                <w:p w:rsidR="00EA6088" w:rsidRPr="00EA6088" w:rsidRDefault="00EA6088" w:rsidP="007D2AB4">
                  <w:pPr>
                    <w:shd w:val="clear" w:color="auto" w:fill="FFFFFF"/>
                    <w:tabs>
                      <w:tab w:val="left" w:pos="121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1.3.2</w:t>
                  </w: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Дополнить пунктом 3.6</w:t>
                  </w: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следующего содержания: </w:t>
                  </w:r>
                </w:p>
                <w:p w:rsidR="00EA6088" w:rsidRPr="00EA6088" w:rsidRDefault="00EA6088" w:rsidP="007D2AB4">
                  <w:pPr>
                    <w:shd w:val="clear" w:color="auto" w:fill="FFFFFF"/>
                    <w:tabs>
                      <w:tab w:val="left" w:pos="121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 счёт экономии средств фонда оплаты труда руководителю организации могут производиться следующие выплаты:</w:t>
                  </w:r>
                </w:p>
                <w:p w:rsidR="00EA6088" w:rsidRPr="00EA6088" w:rsidRDefault="00EA6088" w:rsidP="007D2AB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премии к профессиональным, общегосударственным праздникам;</w:t>
                  </w:r>
                </w:p>
                <w:p w:rsidR="00EA6088" w:rsidRPr="00EA6088" w:rsidRDefault="00EA6088" w:rsidP="007D2AB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95"/>
                      <w:tab w:val="left" w:leader="underscore" w:pos="34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премии в связи с юбилейными датами - при достижении возраста 50 лет в размере не более должностного оклада;</w:t>
                  </w:r>
                </w:p>
                <w:p w:rsidR="00EA6088" w:rsidRDefault="00EA6088" w:rsidP="007D2AB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95"/>
                      <w:tab w:val="left" w:leader="underscore" w:pos="34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премии в связи с </w:t>
                  </w:r>
                  <w:r w:rsidRPr="00EA60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уходом на заслуженный отдых </w:t>
                  </w:r>
                  <w:r w:rsidRPr="00EA6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размере не более должностного оклада.</w:t>
                  </w:r>
                </w:p>
                <w:p w:rsidR="000F1F6C" w:rsidRPr="000F1F6C" w:rsidRDefault="000F1F6C" w:rsidP="007D2AB4">
                  <w:pPr>
                    <w:spacing w:after="0" w:line="240" w:lineRule="auto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1.3.3.</w:t>
                  </w:r>
                  <w:r w:rsidRPr="00165A83">
                    <w:rPr>
                      <w:szCs w:val="28"/>
                    </w:rPr>
                    <w:t xml:space="preserve"> </w:t>
                  </w:r>
                  <w:r w:rsidRPr="000F1F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дополнить пунктом 3.10. следующего содержания:</w:t>
                  </w:r>
                </w:p>
                <w:p w:rsidR="000F1F6C" w:rsidRDefault="000F1F6C" w:rsidP="007D2A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0F1F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«3.10. Размещение информации о рассчитанной за календарный год среднемесячной заработной плате  руководителя,  заместителей муниципального учреждения и предоставление указанными лицами данной информации производится в соответствии с </w:t>
                  </w:r>
                  <w:r w:rsidRPr="000F1F6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Порядком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казённых, бюджетных и автономных учреждений, муниципальных унитарных предприятий городского округа город Кулебаки</w:t>
                  </w:r>
                  <w:r w:rsidRPr="000F1F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Нижегородской области в информационно-телекоммуникационной сети «Интернет», утверждённым постановлением администрацией городского округа город Кулебаки Нижегородской области от 10.03.2017</w:t>
                  </w:r>
                  <w:r w:rsidRPr="000F1F6C">
                    <w:rPr>
                      <w:sz w:val="28"/>
                      <w:szCs w:val="28"/>
                    </w:rPr>
                    <w:t xml:space="preserve"> </w:t>
                  </w:r>
                  <w:r w:rsidRPr="000F1F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 № 413.»</w:t>
                  </w:r>
                </w:p>
                <w:p w:rsidR="000F1F6C" w:rsidRDefault="000F1F6C" w:rsidP="007D2A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1.4.</w:t>
                  </w:r>
                  <w:r w:rsidRPr="00CA5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приложении 1</w:t>
                  </w:r>
                  <w:r w:rsidRPr="005862A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</w:t>
                  </w:r>
                  <w:r w:rsidRPr="000F1F6C">
                    <w:rPr>
                      <w:rFonts w:ascii="Times New Roman" w:hAnsi="Times New Roman"/>
                      <w:sz w:val="28"/>
                      <w:szCs w:val="28"/>
                    </w:rPr>
                    <w:t>Порядок формирования должностных окладов (ставок заработной платы) работни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ков»</w:t>
                  </w:r>
                </w:p>
                <w:p w:rsidR="000F1F6C" w:rsidRDefault="000F1F6C" w:rsidP="007D2AB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1.4.1.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Подпункт 1.3.</w:t>
                  </w:r>
                  <w:r w:rsidRPr="00165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пункта 1 "Профессиональная квалификационная группа должностей педагогических работников"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изложить в следующей редакции</w:t>
                  </w:r>
                  <w:r w:rsidRPr="00165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42"/>
                    <w:gridCol w:w="1943"/>
                    <w:gridCol w:w="1972"/>
                    <w:gridCol w:w="1972"/>
                  </w:tblGrid>
                  <w:tr w:rsidR="00BF1D18" w:rsidTr="00BF1D18">
                    <w:tc>
                      <w:tcPr>
                        <w:tcW w:w="3242" w:type="dxa"/>
                      </w:tcPr>
                      <w:p w:rsidR="00BF1D18" w:rsidRPr="00250DD9" w:rsidRDefault="00BF1D18" w:rsidP="007D2A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Профессиональная квалификационная группа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/ квалификационный уровень</w:t>
                        </w: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BF1D18" w:rsidRPr="00250DD9" w:rsidRDefault="00BF1D18" w:rsidP="007D2A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Повышающий коэффициент по должности 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892D99" w:rsidRDefault="00BF1D18" w:rsidP="007D2AB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92D9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Минималь</w:t>
                        </w:r>
                        <w:r w:rsidRPr="00892D9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ный оклад</w:t>
                        </w:r>
                        <w:r w:rsidRPr="00892D9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1</w:t>
                        </w:r>
                        <w:r w:rsidRPr="00892D9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 руб.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250DD9" w:rsidRDefault="00BF1D18" w:rsidP="007D2A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Минимальный оклад</w:t>
                        </w:r>
                        <w:r w:rsidRPr="002938B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1*</w:t>
                        </w: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 руб.</w:t>
                        </w:r>
                      </w:p>
                    </w:tc>
                  </w:tr>
                  <w:tr w:rsidR="00BF1D18" w:rsidTr="00BF1D18">
                    <w:tc>
                      <w:tcPr>
                        <w:tcW w:w="3242" w:type="dxa"/>
                      </w:tcPr>
                      <w:p w:rsidR="00BF1D18" w:rsidRDefault="00BF1D18" w:rsidP="007D2A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  <w:p w:rsidR="00BF1D18" w:rsidRPr="00FC4094" w:rsidRDefault="00BF1D18" w:rsidP="007D2AB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C40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старший </w:t>
                        </w:r>
                        <w:proofErr w:type="gramStart"/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вожатый</w:t>
                        </w:r>
                        <w:r w:rsidRPr="00FC40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  </w:t>
                        </w:r>
                        <w:proofErr w:type="gramEnd"/>
                        <w:r w:rsidRPr="00FC40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BF1D18" w:rsidRPr="00FC4094" w:rsidRDefault="00BF1D18" w:rsidP="007D2AB4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1,0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40D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40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6534</w:t>
                        </w:r>
                      </w:p>
                    </w:tc>
                  </w:tr>
                  <w:tr w:rsidR="00BF1D18" w:rsidTr="00BF1D18">
                    <w:tc>
                      <w:tcPr>
                        <w:tcW w:w="3242" w:type="dxa"/>
                      </w:tcPr>
                      <w:p w:rsidR="00BF1D18" w:rsidRDefault="00BF1D18" w:rsidP="007D2A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  <w:p w:rsidR="00BF1D18" w:rsidRPr="00FC4094" w:rsidRDefault="00BF1D18" w:rsidP="007D2AB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C40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 дополнительного образования</w:t>
                        </w:r>
                        <w:r w:rsidRPr="00FC40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социальный </w:t>
                        </w:r>
                        <w:proofErr w:type="gramStart"/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</w:t>
                        </w:r>
                        <w:r w:rsidRPr="00FC40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  </w:t>
                        </w:r>
                        <w:proofErr w:type="gramEnd"/>
                        <w:r w:rsidRPr="00FC40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BF1D18" w:rsidRPr="00FC4094" w:rsidRDefault="00BF1D18" w:rsidP="007D2AB4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1,11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0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8861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0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7258</w:t>
                        </w:r>
                      </w:p>
                    </w:tc>
                  </w:tr>
                  <w:tr w:rsidR="00BF1D18" w:rsidTr="00BF1D18">
                    <w:tc>
                      <w:tcPr>
                        <w:tcW w:w="3242" w:type="dxa"/>
                      </w:tcPr>
                      <w:p w:rsidR="00BF1D18" w:rsidRDefault="00BF1D18" w:rsidP="007D2A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3 квалификационный уровень </w:t>
                        </w:r>
                      </w:p>
                      <w:p w:rsidR="00BF1D18" w:rsidRPr="00892D99" w:rsidRDefault="00BF1D18" w:rsidP="007D2AB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92D9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892D9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педагог-</w:t>
                        </w:r>
                        <w:proofErr w:type="gramStart"/>
                        <w:r w:rsidRPr="00892D9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психолог</w:t>
                        </w:r>
                        <w:r w:rsidRPr="00892D9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  </w:t>
                        </w:r>
                        <w:proofErr w:type="gramEnd"/>
                        <w:r w:rsidRPr="00892D9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BF1D18" w:rsidRPr="00FC4094" w:rsidRDefault="00BF1D18" w:rsidP="007D2AB4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1,17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0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9303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0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7621</w:t>
                        </w:r>
                      </w:p>
                    </w:tc>
                  </w:tr>
                  <w:tr w:rsidR="00BF1D18" w:rsidTr="00BF1D18">
                    <w:tc>
                      <w:tcPr>
                        <w:tcW w:w="3242" w:type="dxa"/>
                      </w:tcPr>
                      <w:p w:rsidR="00BF1D18" w:rsidRPr="00EB0143" w:rsidRDefault="00BF1D18" w:rsidP="007D2A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0DD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4 квалификационный уровень  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BF1D18" w:rsidRPr="00FC4094" w:rsidRDefault="00BF1D18" w:rsidP="007D2AB4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C40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1,22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0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9746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BF1D18" w:rsidRPr="00340D05" w:rsidRDefault="00BF1D18" w:rsidP="007D2AB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0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7985</w:t>
                        </w:r>
                      </w:p>
                    </w:tc>
                  </w:tr>
                </w:tbl>
                <w:p w:rsidR="00436EE1" w:rsidRPr="00257836" w:rsidRDefault="00436EE1" w:rsidP="007D2AB4">
                  <w:pPr>
                    <w:tabs>
                      <w:tab w:val="left" w:pos="14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337B" w:rsidRPr="008F337B" w:rsidRDefault="008F337B" w:rsidP="00EB014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BE3" w:rsidRPr="008F337B" w:rsidRDefault="00EB0143" w:rsidP="00EB01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-596900</wp:posOffset>
            </wp:positionV>
            <wp:extent cx="6263640" cy="7458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№10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8" b="39779"/>
                    <a:stretch/>
                  </pic:blipFill>
                  <pic:spPr bwMode="auto">
                    <a:xfrm>
                      <a:off x="0" y="0"/>
                      <a:ext cx="6263640" cy="745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2BE3" w:rsidRPr="008F337B" w:rsidSect="0058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52D31E"/>
    <w:lvl w:ilvl="0">
      <w:numFmt w:val="bullet"/>
      <w:lvlText w:val="*"/>
      <w:lvlJc w:val="left"/>
    </w:lvl>
  </w:abstractNum>
  <w:abstractNum w:abstractNumId="1" w15:restartNumberingAfterBreak="0">
    <w:nsid w:val="610705A1"/>
    <w:multiLevelType w:val="hybridMultilevel"/>
    <w:tmpl w:val="27CAE606"/>
    <w:lvl w:ilvl="0" w:tplc="2034C5B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7B"/>
    <w:rsid w:val="00006628"/>
    <w:rsid w:val="000F1F6C"/>
    <w:rsid w:val="00126AF8"/>
    <w:rsid w:val="00206D85"/>
    <w:rsid w:val="0023210C"/>
    <w:rsid w:val="00257836"/>
    <w:rsid w:val="00271CDD"/>
    <w:rsid w:val="00284FBC"/>
    <w:rsid w:val="00296D88"/>
    <w:rsid w:val="00414D3A"/>
    <w:rsid w:val="00417538"/>
    <w:rsid w:val="00436EE1"/>
    <w:rsid w:val="005003C8"/>
    <w:rsid w:val="00510744"/>
    <w:rsid w:val="00530C06"/>
    <w:rsid w:val="005622C8"/>
    <w:rsid w:val="00572865"/>
    <w:rsid w:val="00587E7B"/>
    <w:rsid w:val="005E0045"/>
    <w:rsid w:val="006B44C7"/>
    <w:rsid w:val="00726B3A"/>
    <w:rsid w:val="00785097"/>
    <w:rsid w:val="007D2AB4"/>
    <w:rsid w:val="00871345"/>
    <w:rsid w:val="00893EAA"/>
    <w:rsid w:val="008F337B"/>
    <w:rsid w:val="0092002E"/>
    <w:rsid w:val="009A7BE1"/>
    <w:rsid w:val="009C1F59"/>
    <w:rsid w:val="009F6845"/>
    <w:rsid w:val="00AA0DE8"/>
    <w:rsid w:val="00B22959"/>
    <w:rsid w:val="00BF1D18"/>
    <w:rsid w:val="00C35D76"/>
    <w:rsid w:val="00D72BE3"/>
    <w:rsid w:val="00DA1B34"/>
    <w:rsid w:val="00DC23CD"/>
    <w:rsid w:val="00DF3FBA"/>
    <w:rsid w:val="00EA6088"/>
    <w:rsid w:val="00EB014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D2EF0-F64C-4F82-83AA-6A3D0296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3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8F337B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5">
    <w:name w:val="Subtitle"/>
    <w:basedOn w:val="a"/>
    <w:link w:val="a6"/>
    <w:qFormat/>
    <w:rsid w:val="008F33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6">
    <w:name w:val="Подзаголовок Знак"/>
    <w:basedOn w:val="a0"/>
    <w:link w:val="a5"/>
    <w:rsid w:val="008F337B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7">
    <w:name w:val="List Paragraph"/>
    <w:basedOn w:val="a"/>
    <w:uiPriority w:val="34"/>
    <w:qFormat/>
    <w:rsid w:val="00296D88"/>
    <w:pPr>
      <w:ind w:left="720"/>
      <w:contextualSpacing/>
    </w:pPr>
  </w:style>
  <w:style w:type="paragraph" w:customStyle="1" w:styleId="ConsPlusNormal">
    <w:name w:val="ConsPlusNormal"/>
    <w:rsid w:val="009A7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0F1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5420907B600082A64EE081A43C9D17FC76D32F828AE75E9F2608E3WAr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A75420907B600082A64EE081A43C9D17FD7FD52A808AE75E9F2608E3WA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575983BC6FE0E28B7964B0CE8B56DA7C294E5E46AF305B2DE4C28FCC4B8855CDD1B6439B0179757CA685s2t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F1CC-B4D3-4E30-97B8-1B2C2D60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Пользователь</cp:lastModifiedBy>
  <cp:revision>2</cp:revision>
  <cp:lastPrinted>2017-06-06T07:49:00Z</cp:lastPrinted>
  <dcterms:created xsi:type="dcterms:W3CDTF">2017-10-24T12:18:00Z</dcterms:created>
  <dcterms:modified xsi:type="dcterms:W3CDTF">2017-10-24T12:18:00Z</dcterms:modified>
</cp:coreProperties>
</file>